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-504825</wp:posOffset>
                </wp:positionV>
                <wp:extent cx="2781300" cy="1866900"/>
                <wp:effectExtent l="38100" t="38100" r="114300"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866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1044D" w:rsidRPr="00E039E1" w:rsidRDefault="002F0184" w:rsidP="00CA513B">
                            <w:pPr>
                              <w:pStyle w:val="NoSpacing"/>
                              <w:rPr>
                                <w:rStyle w:val="Strong"/>
                                <w:color w:val="1F497D" w:themeColor="text2"/>
                              </w:rPr>
                            </w:pPr>
                            <w:r>
                              <w:rPr>
                                <w:rStyle w:val="Strong"/>
                                <w:color w:val="1F497D" w:themeColor="text2"/>
                              </w:rPr>
                              <w:t>Workgroup:</w:t>
                            </w:r>
                            <w:r w:rsidR="00283080">
                              <w:rPr>
                                <w:rStyle w:val="Strong"/>
                                <w:color w:val="1F497D" w:themeColor="text2"/>
                              </w:rPr>
                              <w:t xml:space="preserve"> ACI</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283080">
                              <w:rPr>
                                <w:rStyle w:val="Strong"/>
                                <w:color w:val="1F497D" w:themeColor="text2"/>
                              </w:rPr>
                              <w:t>September 16,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283080">
                              <w:rPr>
                                <w:rStyle w:val="Strong"/>
                                <w:color w:val="1F497D" w:themeColor="text2"/>
                              </w:rPr>
                              <w:t>3:00 to 5:00 pm</w:t>
                            </w:r>
                          </w:p>
                          <w:p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proofErr w:type="spellStart"/>
                            <w:r w:rsidR="00283080">
                              <w:rPr>
                                <w:rStyle w:val="Strong"/>
                                <w:color w:val="1F497D" w:themeColor="text2"/>
                              </w:rPr>
                              <w:t>MaineGeneral</w:t>
                            </w:r>
                            <w:proofErr w:type="spellEnd"/>
                            <w:r w:rsidR="00283080">
                              <w:rPr>
                                <w:rStyle w:val="Strong"/>
                                <w:color w:val="1F497D" w:themeColor="text2"/>
                              </w:rPr>
                              <w:t xml:space="preserve"> Medical Center</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39.75pt;width:219pt;height:147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2F0184" w:rsidP="00CA513B">
                      <w:pPr>
                        <w:pStyle w:val="NoSpacing"/>
                        <w:rPr>
                          <w:rStyle w:val="Strong"/>
                          <w:color w:val="1F497D" w:themeColor="text2"/>
                        </w:rPr>
                      </w:pPr>
                      <w:r>
                        <w:rPr>
                          <w:rStyle w:val="Strong"/>
                          <w:color w:val="1F497D" w:themeColor="text2"/>
                        </w:rPr>
                        <w:t>Workgroup:</w:t>
                      </w:r>
                      <w:r w:rsidR="00283080">
                        <w:rPr>
                          <w:rStyle w:val="Strong"/>
                          <w:color w:val="1F497D" w:themeColor="text2"/>
                        </w:rPr>
                        <w:t xml:space="preserve"> ACI</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283080">
                        <w:rPr>
                          <w:rStyle w:val="Strong"/>
                          <w:color w:val="1F497D" w:themeColor="text2"/>
                        </w:rPr>
                        <w:t>September 16,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283080">
                        <w:rPr>
                          <w:rStyle w:val="Strong"/>
                          <w:color w:val="1F497D" w:themeColor="text2"/>
                        </w:rPr>
                        <w:t>3:00 to 5:00 pm</w:t>
                      </w:r>
                    </w:p>
                    <w:p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proofErr w:type="spellStart"/>
                      <w:r w:rsidR="00283080">
                        <w:rPr>
                          <w:rStyle w:val="Strong"/>
                          <w:color w:val="1F497D" w:themeColor="text2"/>
                        </w:rPr>
                        <w:t>MaineGeneral</w:t>
                      </w:r>
                      <w:proofErr w:type="spellEnd"/>
                      <w:r w:rsidR="00283080">
                        <w:rPr>
                          <w:rStyle w:val="Strong"/>
                          <w:color w:val="1F497D" w:themeColor="text2"/>
                        </w:rPr>
                        <w:t xml:space="preserve"> Medical Center</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r w:rsidR="000C0D2D">
        <w:rPr>
          <w:noProof/>
        </w:rPr>
        <w:drawing>
          <wp:inline distT="0" distB="0" distL="0" distR="0" wp14:anchorId="77DFC9FB" wp14:editId="5F549D5D">
            <wp:extent cx="1819275" cy="723900"/>
            <wp:effectExtent l="0" t="0" r="9525" b="0"/>
            <wp:docPr id="1" name="Picture 1"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723900"/>
                    </a:xfrm>
                    <a:prstGeom prst="rect">
                      <a:avLst/>
                    </a:prstGeom>
                    <a:noFill/>
                    <a:ln>
                      <a:noFill/>
                    </a:ln>
                  </pic:spPr>
                </pic:pic>
              </a:graphicData>
            </a:graphic>
          </wp:inline>
        </w:drawing>
      </w:r>
    </w:p>
    <w:p w:rsidR="00283080" w:rsidRPr="000C0D2D" w:rsidRDefault="000C0D2D" w:rsidP="000C0D2D">
      <w:r>
        <w:t xml:space="preserve">   </w:t>
      </w:r>
    </w:p>
    <w:p w:rsidR="00585463" w:rsidRPr="00382C14" w:rsidRDefault="00B360D6" w:rsidP="00B360D6">
      <w:pPr>
        <w:pStyle w:val="NoSpacing"/>
      </w:pPr>
      <w:r w:rsidRPr="00382C14">
        <w:rPr>
          <w:b/>
        </w:rPr>
        <w:t>Attendance:</w:t>
      </w:r>
      <w:r w:rsidR="009F7035" w:rsidRPr="00382C14">
        <w:t xml:space="preserve"> </w:t>
      </w:r>
      <w:r w:rsidR="00283080">
        <w:t>Mike Hachey, Mercy; David Winslow, M</w:t>
      </w:r>
      <w:r w:rsidR="000C0D2D">
        <w:t>aine Hospital Association</w:t>
      </w:r>
      <w:r w:rsidR="00283080">
        <w:t xml:space="preserve">; Carl </w:t>
      </w:r>
      <w:proofErr w:type="spellStart"/>
      <w:r w:rsidR="00283080">
        <w:t>DeMars</w:t>
      </w:r>
      <w:proofErr w:type="spellEnd"/>
      <w:r w:rsidR="00283080">
        <w:t xml:space="preserve">, MD, Mid Coast; </w:t>
      </w:r>
      <w:r w:rsidR="000C0D2D">
        <w:t xml:space="preserve">John </w:t>
      </w:r>
      <w:proofErr w:type="spellStart"/>
      <w:r w:rsidR="000C0D2D">
        <w:t>Yindra</w:t>
      </w:r>
      <w:proofErr w:type="spellEnd"/>
      <w:r w:rsidR="000C0D2D">
        <w:t xml:space="preserve">, MD, Maine Community Options; Jim Kane, Central Maine Health; Jeff </w:t>
      </w:r>
      <w:proofErr w:type="spellStart"/>
      <w:r w:rsidR="000C0D2D">
        <w:t>Smorzcewski</w:t>
      </w:r>
      <w:proofErr w:type="spellEnd"/>
      <w:r w:rsidR="000C0D2D">
        <w:t xml:space="preserve">, Aetna; Peter Kraut, </w:t>
      </w:r>
      <w:proofErr w:type="spellStart"/>
      <w:r w:rsidR="000C0D2D">
        <w:t>MaineCare</w:t>
      </w:r>
      <w:proofErr w:type="spellEnd"/>
      <w:r w:rsidR="000C0D2D">
        <w:t xml:space="preserve">; Stephanie </w:t>
      </w:r>
      <w:proofErr w:type="spellStart"/>
      <w:r w:rsidR="000C0D2D">
        <w:t>Martyak</w:t>
      </w:r>
      <w:proofErr w:type="spellEnd"/>
      <w:r w:rsidR="000C0D2D">
        <w:t xml:space="preserve">, </w:t>
      </w:r>
      <w:proofErr w:type="spellStart"/>
      <w:r w:rsidR="000C0D2D">
        <w:t>MaineCare</w:t>
      </w:r>
      <w:proofErr w:type="spellEnd"/>
      <w:r w:rsidR="000C0D2D">
        <w:t xml:space="preserve">; Stephanie Peters, </w:t>
      </w:r>
      <w:proofErr w:type="spellStart"/>
      <w:r w:rsidR="000C0D2D">
        <w:t>MaineHealth</w:t>
      </w:r>
      <w:proofErr w:type="spellEnd"/>
      <w:r w:rsidR="000C0D2D">
        <w:t xml:space="preserve">; Ben Townsend, </w:t>
      </w:r>
      <w:proofErr w:type="spellStart"/>
      <w:r w:rsidR="000C0D2D">
        <w:t>Kozak</w:t>
      </w:r>
      <w:proofErr w:type="spellEnd"/>
      <w:r w:rsidR="000C0D2D">
        <w:t xml:space="preserve"> &amp; Gayer; Steve Ryan, Maine Network for Health; Randy Chenard, SIM Program;  Chris Brawn, State Employee Health </w:t>
      </w:r>
      <w:proofErr w:type="spellStart"/>
      <w:r w:rsidR="000C0D2D">
        <w:t>Comission</w:t>
      </w:r>
      <w:proofErr w:type="spellEnd"/>
      <w:r w:rsidR="000C0D2D">
        <w:t xml:space="preserve">; Gordon Smith, Maine Medical Association; Susan Gallagher, Universal American;  Jude </w:t>
      </w:r>
      <w:proofErr w:type="spellStart"/>
      <w:r w:rsidR="000C0D2D">
        <w:t>Neveux</w:t>
      </w:r>
      <w:proofErr w:type="spellEnd"/>
      <w:r w:rsidR="000C0D2D">
        <w:t xml:space="preserve">, Universal American; </w:t>
      </w:r>
      <w:r w:rsidRPr="00382C14">
        <w:t xml:space="preserve"> </w:t>
      </w:r>
      <w:r w:rsidR="00C05E37" w:rsidRPr="00382C14">
        <w:t xml:space="preserve"> </w:t>
      </w:r>
      <w:r w:rsidR="002A2B0D">
        <w:t xml:space="preserve">Frank Bragg, MD, Eastern Maine Health; Pat Denning, Harvard Pilgrim Health Care; </w:t>
      </w:r>
      <w:proofErr w:type="spellStart"/>
      <w:r w:rsidR="002A2B0D">
        <w:t>Judiann</w:t>
      </w:r>
      <w:proofErr w:type="spellEnd"/>
      <w:r w:rsidR="002A2B0D">
        <w:t xml:space="preserve"> Smith, </w:t>
      </w:r>
      <w:proofErr w:type="spellStart"/>
      <w:r w:rsidR="002A2B0D">
        <w:t>Spurwink</w:t>
      </w:r>
      <w:proofErr w:type="spellEnd"/>
      <w:r w:rsidR="002A2B0D">
        <w:t xml:space="preserve">; Kristen </w:t>
      </w:r>
      <w:proofErr w:type="spellStart"/>
      <w:r w:rsidR="002A2B0D">
        <w:t>Brasslet</w:t>
      </w:r>
      <w:proofErr w:type="spellEnd"/>
      <w:r w:rsidR="002A2B0D">
        <w:t xml:space="preserve">, Eastern Maine Health; Pam </w:t>
      </w:r>
      <w:proofErr w:type="spellStart"/>
      <w:r w:rsidR="002A2B0D">
        <w:t>Beaule</w:t>
      </w:r>
      <w:proofErr w:type="spellEnd"/>
      <w:r w:rsidR="002A2B0D">
        <w:t xml:space="preserve">, St. Mary’s; </w:t>
      </w:r>
      <w:proofErr w:type="spellStart"/>
      <w:r w:rsidR="002A2B0D">
        <w:t>Renea</w:t>
      </w:r>
      <w:proofErr w:type="spellEnd"/>
      <w:r w:rsidR="002A2B0D">
        <w:t xml:space="preserve"> Rice, Eastern Maine Health; Tom </w:t>
      </w:r>
      <w:proofErr w:type="spellStart"/>
      <w:r w:rsidR="002A2B0D">
        <w:t>Violette</w:t>
      </w:r>
      <w:proofErr w:type="spellEnd"/>
      <w:r w:rsidR="002A2B0D">
        <w:t xml:space="preserve">, Eastern Maine Health; Lisa Nolan, MHMC. </w:t>
      </w:r>
      <w:r w:rsidR="00051E6B">
        <w:t xml:space="preserve"> </w:t>
      </w:r>
    </w:p>
    <w:p w:rsidR="002A2B0D" w:rsidRDefault="002A2B0D" w:rsidP="002A2B0D">
      <w:pPr>
        <w:pStyle w:val="NoSpacing"/>
        <w:rPr>
          <w:b/>
        </w:rPr>
      </w:pPr>
    </w:p>
    <w:p w:rsidR="00AD5607" w:rsidRDefault="00B360D6" w:rsidP="002A2B0D">
      <w:pPr>
        <w:pStyle w:val="NoSpacing"/>
      </w:pPr>
      <w:r w:rsidRPr="00382C14">
        <w:rPr>
          <w:b/>
        </w:rPr>
        <w:t>Staff:</w:t>
      </w:r>
      <w:r w:rsidR="000C0D2D">
        <w:rPr>
          <w:b/>
        </w:rPr>
        <w:t xml:space="preserve"> </w:t>
      </w:r>
      <w:r w:rsidR="00CA7F6A">
        <w:t xml:space="preserve"> </w:t>
      </w:r>
      <w:r w:rsidR="000C0D2D">
        <w:t xml:space="preserve">Blake Hendrickson, MHMC; Frank Johnson, MHMC. </w:t>
      </w:r>
    </w:p>
    <w:p w:rsidR="002A2B0D" w:rsidRPr="00382C14" w:rsidRDefault="002A2B0D" w:rsidP="002A2B0D"/>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927B91" w:rsidP="00B562FE">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Presentation of Maine Community ACO</w:t>
            </w:r>
          </w:p>
        </w:tc>
        <w:tc>
          <w:tcPr>
            <w:tcW w:w="1620" w:type="dxa"/>
          </w:tcPr>
          <w:p w:rsidR="00046DB0" w:rsidRPr="00B404FA" w:rsidRDefault="00927B91" w:rsidP="0061044D">
            <w:pPr>
              <w:pStyle w:val="Formal1"/>
              <w:rPr>
                <w:rFonts w:asciiTheme="minorHAnsi" w:hAnsiTheme="minorHAnsi" w:cstheme="minorHAnsi"/>
                <w:sz w:val="22"/>
                <w:szCs w:val="22"/>
              </w:rPr>
            </w:pPr>
            <w:r w:rsidRPr="00B404FA">
              <w:rPr>
                <w:rFonts w:asciiTheme="minorHAnsi" w:hAnsiTheme="minorHAnsi" w:cstheme="minorHAnsi"/>
                <w:sz w:val="22"/>
                <w:szCs w:val="22"/>
              </w:rPr>
              <w:t xml:space="preserve">Jude </w:t>
            </w:r>
            <w:proofErr w:type="spellStart"/>
            <w:r w:rsidRPr="00B404FA">
              <w:rPr>
                <w:rFonts w:asciiTheme="minorHAnsi" w:hAnsiTheme="minorHAnsi" w:cstheme="minorHAnsi"/>
                <w:sz w:val="22"/>
                <w:szCs w:val="22"/>
              </w:rPr>
              <w:t>Nevuex</w:t>
            </w:r>
            <w:proofErr w:type="spellEnd"/>
          </w:p>
        </w:tc>
        <w:tc>
          <w:tcPr>
            <w:tcW w:w="4050" w:type="dxa"/>
          </w:tcPr>
          <w:p w:rsidR="00366684" w:rsidRPr="00382C14" w:rsidRDefault="00927B91" w:rsidP="009B7647">
            <w:r>
              <w:t xml:space="preserve">Jude </w:t>
            </w:r>
            <w:proofErr w:type="spellStart"/>
            <w:r>
              <w:t>Nevuex</w:t>
            </w:r>
            <w:proofErr w:type="spellEnd"/>
            <w:r>
              <w:t xml:space="preserve"> provided an overview of the Medicare Shared Savings ACO comprised of nine FQHCs in Maine. The Maine Community ACO (MCACO) is a unique </w:t>
            </w:r>
            <w:r w:rsidR="002A2B0D">
              <w:t>delivery model</w:t>
            </w:r>
            <w:r>
              <w:t xml:space="preserve"> covering approximately 12,800 beneficiaries with Universal American subsidiary, Collaborative Health Systems (CHS) providing administration and clinical support. </w:t>
            </w:r>
            <w:r w:rsidR="002A2B0D">
              <w:t xml:space="preserve">Jude discussed the challenges related to patient </w:t>
            </w:r>
            <w:proofErr w:type="gramStart"/>
            <w:r w:rsidR="002A2B0D">
              <w:t>attribution,</w:t>
            </w:r>
            <w:proofErr w:type="gramEnd"/>
            <w:r w:rsidR="002A2B0D">
              <w:t xml:space="preserve"> securing and auditing quality measures, </w:t>
            </w:r>
            <w:r w:rsidR="002A2B0D">
              <w:lastRenderedPageBreak/>
              <w:t>risk sharing for the FQHCs.</w:t>
            </w:r>
            <w:r w:rsidR="009B7647">
              <w:t xml:space="preserve"> Jude noted that the payment and risk sharing arrangements pose serious issues for sustainability among the participating FQHCs.</w:t>
            </w:r>
            <w:r w:rsidR="002A2B0D">
              <w:t xml:space="preserve"> The staffing and objectives of the care coordination activities were outlined as were some of the early results demonstrating noteworthy reductions in admissions for COPD and CHF, readmission and ER visits. Despite these successes Jude reported a troubling trend for imaging services. Th</w:t>
            </w:r>
            <w:r w:rsidR="009B7647">
              <w:t xml:space="preserve">is revelation prompted a discussion on the causes for the imaging variation. Dr. </w:t>
            </w:r>
            <w:proofErr w:type="spellStart"/>
            <w:r w:rsidR="009B7647">
              <w:t>Yindra</w:t>
            </w:r>
            <w:proofErr w:type="spellEnd"/>
            <w:r w:rsidR="009B7647">
              <w:t xml:space="preserve"> observed that his experience suggested that the increase in relatively </w:t>
            </w:r>
            <w:proofErr w:type="gramStart"/>
            <w:r w:rsidR="009B7647">
              <w:t>inexperienced  mid</w:t>
            </w:r>
            <w:proofErr w:type="gramEnd"/>
            <w:r w:rsidR="009B7647">
              <w:t xml:space="preserve">-level professionals may be a significant contributing factor. Jude indicated that CHS is continuing to examine the data for imaging services. Jude presentation was </w:t>
            </w:r>
            <w:proofErr w:type="gramStart"/>
            <w:r w:rsidR="009B7647">
              <w:t>followed</w:t>
            </w:r>
            <w:r w:rsidR="002A2B0D">
              <w:t xml:space="preserve">  </w:t>
            </w:r>
            <w:r w:rsidR="009B7647">
              <w:t>by</w:t>
            </w:r>
            <w:proofErr w:type="gramEnd"/>
            <w:r w:rsidR="009B7647">
              <w:t xml:space="preserve"> a general Q&amp;A session.</w:t>
            </w:r>
            <w:r w:rsidR="002A2B0D">
              <w:t xml:space="preserve"> </w:t>
            </w:r>
          </w:p>
        </w:tc>
        <w:tc>
          <w:tcPr>
            <w:tcW w:w="2790" w:type="dxa"/>
          </w:tcPr>
          <w:p w:rsidR="000A6C66" w:rsidRPr="009B7647" w:rsidRDefault="00F03098" w:rsidP="00B404FA">
            <w:pPr>
              <w:pStyle w:val="Formal1"/>
              <w:rPr>
                <w:rFonts w:asciiTheme="minorHAnsi" w:hAnsiTheme="minorHAnsi" w:cstheme="minorHAnsi"/>
                <w:sz w:val="22"/>
                <w:szCs w:val="22"/>
              </w:rPr>
            </w:pPr>
            <w:r>
              <w:rPr>
                <w:rFonts w:asciiTheme="minorHAnsi" w:hAnsiTheme="minorHAnsi" w:cstheme="minorHAnsi"/>
                <w:b/>
                <w:sz w:val="22"/>
                <w:szCs w:val="22"/>
              </w:rPr>
              <w:lastRenderedPageBreak/>
              <w:t xml:space="preserve"> </w:t>
            </w:r>
            <w:r w:rsidR="009B7647">
              <w:rPr>
                <w:rFonts w:asciiTheme="minorHAnsi" w:hAnsiTheme="minorHAnsi" w:cstheme="minorHAnsi"/>
                <w:sz w:val="22"/>
                <w:szCs w:val="22"/>
              </w:rPr>
              <w:t xml:space="preserve">There was no action anticipated or taken. This was the final presentation in a series of four updates on the Medicare Shared Savings and Pioneer initiatives in Maine. The intend of this series was to provide a snapshot of the Medicare ACOs operating in Maine, their common and </w:t>
            </w:r>
            <w:r w:rsidR="009B7647">
              <w:rPr>
                <w:rFonts w:asciiTheme="minorHAnsi" w:hAnsiTheme="minorHAnsi" w:cstheme="minorHAnsi"/>
                <w:sz w:val="22"/>
                <w:szCs w:val="22"/>
              </w:rPr>
              <w:lastRenderedPageBreak/>
              <w:t xml:space="preserve">unique characteristics, challenges and prospects for sustainability. Several of the provider system reported on how their Medicare ACO experience has shaped </w:t>
            </w:r>
            <w:r w:rsidR="00B404FA">
              <w:rPr>
                <w:rFonts w:asciiTheme="minorHAnsi" w:hAnsiTheme="minorHAnsi" w:cstheme="minorHAnsi"/>
                <w:sz w:val="22"/>
                <w:szCs w:val="22"/>
              </w:rPr>
              <w:t>the expansion into the commercial market.</w:t>
            </w:r>
            <w:r w:rsidR="009B7647">
              <w:rPr>
                <w:rFonts w:asciiTheme="minorHAnsi" w:hAnsiTheme="minorHAnsi" w:cstheme="minorHAnsi"/>
                <w:sz w:val="22"/>
                <w:szCs w:val="22"/>
              </w:rPr>
              <w:t xml:space="preserve"> </w:t>
            </w:r>
          </w:p>
        </w:tc>
      </w:tr>
      <w:tr w:rsidR="000A6C66" w:rsidRPr="00382C14" w:rsidTr="001D798E">
        <w:tc>
          <w:tcPr>
            <w:tcW w:w="3708" w:type="dxa"/>
          </w:tcPr>
          <w:p w:rsidR="00366684" w:rsidRPr="00B404FA" w:rsidRDefault="00B404FA" w:rsidP="00B404FA">
            <w:pPr>
              <w:pStyle w:val="ListParagraph"/>
              <w:numPr>
                <w:ilvl w:val="0"/>
                <w:numId w:val="1"/>
              </w:numPr>
              <w:rPr>
                <w:rFonts w:cstheme="minorHAnsi"/>
                <w:b/>
              </w:rPr>
            </w:pPr>
            <w:r>
              <w:rPr>
                <w:rFonts w:cstheme="minorHAnsi"/>
                <w:b/>
              </w:rPr>
              <w:lastRenderedPageBreak/>
              <w:t>Dialogue on Accelerating Payment Reform</w:t>
            </w:r>
          </w:p>
        </w:tc>
        <w:tc>
          <w:tcPr>
            <w:tcW w:w="1620" w:type="dxa"/>
          </w:tcPr>
          <w:p w:rsidR="000C5E04" w:rsidRPr="00B404FA" w:rsidRDefault="00B404FA" w:rsidP="00CA513B">
            <w:r w:rsidRPr="00B404FA">
              <w:t>Frank Johnson</w:t>
            </w:r>
          </w:p>
        </w:tc>
        <w:tc>
          <w:tcPr>
            <w:tcW w:w="4050" w:type="dxa"/>
          </w:tcPr>
          <w:p w:rsidR="00366684" w:rsidRPr="00382C14" w:rsidRDefault="00AF3EEB" w:rsidP="00876AF0">
            <w:pPr>
              <w:spacing w:after="200" w:line="276" w:lineRule="auto"/>
              <w:rPr>
                <w:rFonts w:cstheme="minorHAnsi"/>
              </w:rPr>
            </w:pPr>
            <w:r>
              <w:rPr>
                <w:rFonts w:cstheme="minorHAnsi"/>
              </w:rPr>
              <w:t xml:space="preserve">Frank summarized the past eighteen months of ACI presentations that have examined the Medicare ACOs as well as the </w:t>
            </w:r>
            <w:proofErr w:type="spellStart"/>
            <w:r>
              <w:rPr>
                <w:rFonts w:cstheme="minorHAnsi"/>
              </w:rPr>
              <w:t>MaineCare</w:t>
            </w:r>
            <w:proofErr w:type="spellEnd"/>
            <w:r>
              <w:rPr>
                <w:rFonts w:cstheme="minorHAnsi"/>
              </w:rPr>
              <w:t xml:space="preserve"> Accountable </w:t>
            </w:r>
            <w:proofErr w:type="gramStart"/>
            <w:r>
              <w:rPr>
                <w:rFonts w:cstheme="minorHAnsi"/>
              </w:rPr>
              <w:t>Communities,</w:t>
            </w:r>
            <w:proofErr w:type="gramEnd"/>
            <w:r>
              <w:rPr>
                <w:rFonts w:cstheme="minorHAnsi"/>
              </w:rPr>
              <w:t xml:space="preserve"> the commercial health plans current and planned payment reform initiatives and the efforts of Martin’s Point and </w:t>
            </w:r>
            <w:proofErr w:type="spellStart"/>
            <w:r>
              <w:rPr>
                <w:rFonts w:cstheme="minorHAnsi"/>
              </w:rPr>
              <w:t>InterMed</w:t>
            </w:r>
            <w:proofErr w:type="spellEnd"/>
            <w:r>
              <w:rPr>
                <w:rFonts w:cstheme="minorHAnsi"/>
              </w:rPr>
              <w:t xml:space="preserve">. Key questions/issues related to the three major stakeholders (purchaser, provider, health plans) were presented to generate a group discussion on these and other </w:t>
            </w:r>
            <w:r>
              <w:rPr>
                <w:rFonts w:cstheme="minorHAnsi"/>
              </w:rPr>
              <w:lastRenderedPageBreak/>
              <w:t>issues or barriers. The provider representatives offered their observations and cautions. Among the notable comments w</w:t>
            </w:r>
            <w:r w:rsidR="00876AF0">
              <w:rPr>
                <w:rFonts w:cstheme="minorHAnsi"/>
              </w:rPr>
              <w:t>as</w:t>
            </w:r>
            <w:r>
              <w:rPr>
                <w:rFonts w:cstheme="minorHAnsi"/>
              </w:rPr>
              <w:t xml:space="preserve"> the absence of timely, transparent comparable </w:t>
            </w:r>
            <w:r w:rsidR="002520BE">
              <w:rPr>
                <w:rFonts w:cstheme="minorHAnsi"/>
              </w:rPr>
              <w:t>data (EMR translation) to support payment reform, how to address payment reform for practices not linked to health systems, the need for PCP designation to facilitate population-based payments, the potential conflict of selected VBID models with reference pricing,</w:t>
            </w:r>
            <w:r w:rsidR="00876AF0">
              <w:rPr>
                <w:rFonts w:cstheme="minorHAnsi"/>
              </w:rPr>
              <w:t xml:space="preserve"> and</w:t>
            </w:r>
            <w:r w:rsidR="002520BE">
              <w:rPr>
                <w:rFonts w:cstheme="minorHAnsi"/>
              </w:rPr>
              <w:t xml:space="preserve"> the proprietary nature of payment models covering fully insured purchasers</w:t>
            </w:r>
            <w:r w:rsidR="00876AF0">
              <w:rPr>
                <w:rFonts w:cstheme="minorHAnsi"/>
              </w:rPr>
              <w:t>.</w:t>
            </w:r>
            <w:r w:rsidR="002520BE">
              <w:rPr>
                <w:rFonts w:cstheme="minorHAnsi"/>
              </w:rPr>
              <w:t xml:space="preserve"> </w:t>
            </w:r>
            <w:r w:rsidR="00876AF0">
              <w:rPr>
                <w:rFonts w:cstheme="minorHAnsi"/>
              </w:rPr>
              <w:t xml:space="preserve">Jim Kane also outlined a patient-engagement program using meaningful incentives to change </w:t>
            </w:r>
            <w:proofErr w:type="gramStart"/>
            <w:r w:rsidR="00876AF0">
              <w:rPr>
                <w:rFonts w:cstheme="minorHAnsi"/>
              </w:rPr>
              <w:t>behaviors  and</w:t>
            </w:r>
            <w:proofErr w:type="gramEnd"/>
            <w:r w:rsidR="00876AF0">
              <w:rPr>
                <w:rFonts w:cstheme="minorHAnsi"/>
              </w:rPr>
              <w:t xml:space="preserve"> to focus resources on high-needs patients. </w:t>
            </w:r>
            <w:r w:rsidR="002520BE">
              <w:rPr>
                <w:rFonts w:cstheme="minorHAnsi"/>
              </w:rPr>
              <w:t xml:space="preserve"> </w:t>
            </w:r>
            <w:r>
              <w:rPr>
                <w:rFonts w:cstheme="minorHAnsi"/>
              </w:rPr>
              <w:t xml:space="preserve"> </w:t>
            </w:r>
          </w:p>
        </w:tc>
        <w:tc>
          <w:tcPr>
            <w:tcW w:w="2790" w:type="dxa"/>
          </w:tcPr>
          <w:p w:rsidR="007824F0" w:rsidRPr="00876AF0" w:rsidRDefault="00876AF0" w:rsidP="00B722D3">
            <w:pPr>
              <w:spacing w:after="200" w:line="276" w:lineRule="auto"/>
              <w:rPr>
                <w:rFonts w:cstheme="minorHAnsi"/>
              </w:rPr>
            </w:pPr>
            <w:r>
              <w:rPr>
                <w:rFonts w:cstheme="minorHAnsi"/>
              </w:rPr>
              <w:lastRenderedPageBreak/>
              <w:t xml:space="preserve">This dialogue was not intended to produce specific strategies but to identify issues and ideas that require attention in order to advance payment reform, particularly to accelerate the transition from reliance on FFS payments. </w:t>
            </w:r>
          </w:p>
        </w:tc>
      </w:tr>
      <w:tr w:rsidR="000C5E04" w:rsidRPr="00382C14" w:rsidTr="001D798E">
        <w:tc>
          <w:tcPr>
            <w:tcW w:w="3708" w:type="dxa"/>
          </w:tcPr>
          <w:p w:rsidR="00317EB4" w:rsidRPr="00317EB4" w:rsidRDefault="00317EB4" w:rsidP="00307654">
            <w:pPr>
              <w:pStyle w:val="ListParagraph"/>
              <w:ind w:left="360"/>
              <w:rPr>
                <w:rFonts w:cstheme="minorHAnsi"/>
                <w:b/>
              </w:rPr>
            </w:pPr>
          </w:p>
        </w:tc>
        <w:tc>
          <w:tcPr>
            <w:tcW w:w="1620" w:type="dxa"/>
          </w:tcPr>
          <w:p w:rsidR="000C5E04" w:rsidRPr="00382C14" w:rsidRDefault="000C5E04" w:rsidP="00CA513B">
            <w:pPr>
              <w:rPr>
                <w:b/>
              </w:rPr>
            </w:pPr>
          </w:p>
        </w:tc>
        <w:tc>
          <w:tcPr>
            <w:tcW w:w="4050" w:type="dxa"/>
          </w:tcPr>
          <w:p w:rsidR="00366684" w:rsidRPr="00382C14" w:rsidRDefault="00366684" w:rsidP="009E21FE">
            <w:pPr>
              <w:rPr>
                <w:rFonts w:cstheme="minorHAnsi"/>
              </w:rPr>
            </w:pPr>
          </w:p>
        </w:tc>
        <w:tc>
          <w:tcPr>
            <w:tcW w:w="2790" w:type="dxa"/>
          </w:tcPr>
          <w:p w:rsidR="009A674E" w:rsidRPr="009E21FE" w:rsidRDefault="00366684" w:rsidP="0061044D">
            <w:pPr>
              <w:rPr>
                <w:rFonts w:cstheme="minorHAnsi"/>
              </w:rPr>
            </w:pPr>
            <w:r>
              <w:rPr>
                <w:rFonts w:cstheme="minorHAnsi"/>
              </w:rPr>
              <w:t xml:space="preserve"> </w:t>
            </w:r>
          </w:p>
        </w:tc>
      </w:tr>
      <w:tr w:rsidR="000A6C66" w:rsidRPr="00382C14" w:rsidTr="001D798E">
        <w:tc>
          <w:tcPr>
            <w:tcW w:w="3708" w:type="dxa"/>
          </w:tcPr>
          <w:p w:rsidR="000A6C66" w:rsidRPr="00366684" w:rsidRDefault="000A6C66" w:rsidP="00366684">
            <w:pPr>
              <w:rPr>
                <w:rFonts w:cstheme="minorHAnsi"/>
                <w:b/>
              </w:rPr>
            </w:pPr>
          </w:p>
        </w:tc>
        <w:tc>
          <w:tcPr>
            <w:tcW w:w="1620" w:type="dxa"/>
          </w:tcPr>
          <w:p w:rsidR="000C5E04" w:rsidRPr="00382C14" w:rsidRDefault="000C5E04" w:rsidP="00CA513B">
            <w:pPr>
              <w:rPr>
                <w:b/>
              </w:rPr>
            </w:pPr>
          </w:p>
        </w:tc>
        <w:tc>
          <w:tcPr>
            <w:tcW w:w="4050" w:type="dxa"/>
          </w:tcPr>
          <w:p w:rsidR="00794936" w:rsidRPr="00382C14" w:rsidRDefault="00366684" w:rsidP="006F2FDF">
            <w:pPr>
              <w:rPr>
                <w:rFonts w:cstheme="minorHAnsi"/>
              </w:rPr>
            </w:pPr>
            <w:r>
              <w:rPr>
                <w:rFonts w:cstheme="minorHAnsi"/>
              </w:rPr>
              <w:t xml:space="preserve"> </w:t>
            </w:r>
          </w:p>
        </w:tc>
        <w:tc>
          <w:tcPr>
            <w:tcW w:w="2790" w:type="dxa"/>
          </w:tcPr>
          <w:p w:rsidR="009A674E" w:rsidRPr="00382C14" w:rsidRDefault="00366684" w:rsidP="00A3329A">
            <w:pPr>
              <w:contextualSpacing/>
              <w:rPr>
                <w:rFonts w:cstheme="minorHAnsi"/>
                <w:b/>
              </w:rPr>
            </w:pPr>
            <w:r>
              <w:rPr>
                <w:b/>
              </w:rPr>
              <w:t xml:space="preserve"> </w:t>
            </w:r>
          </w:p>
          <w:p w:rsidR="000A6C66" w:rsidRPr="00382C14" w:rsidRDefault="000A6C66" w:rsidP="0061044D">
            <w:pPr>
              <w:rPr>
                <w:rFonts w:cstheme="minorHAnsi"/>
                <w:b/>
              </w:rPr>
            </w:pPr>
          </w:p>
        </w:tc>
      </w:tr>
      <w:tr w:rsidR="000A6C66" w:rsidRPr="00382C14" w:rsidTr="001D798E">
        <w:tc>
          <w:tcPr>
            <w:tcW w:w="3708" w:type="dxa"/>
          </w:tcPr>
          <w:p w:rsidR="000A6C66" w:rsidRDefault="00794936" w:rsidP="00752238">
            <w:pPr>
              <w:pStyle w:val="ListParagraph"/>
              <w:numPr>
                <w:ilvl w:val="0"/>
                <w:numId w:val="1"/>
              </w:numPr>
              <w:rPr>
                <w:rFonts w:asciiTheme="minorHAnsi" w:hAnsiTheme="minorHAnsi"/>
                <w:b/>
              </w:rPr>
            </w:pPr>
            <w:r>
              <w:rPr>
                <w:rFonts w:asciiTheme="minorHAnsi" w:hAnsiTheme="minorHAnsi"/>
                <w:b/>
              </w:rPr>
              <w:t>Risk/Dependencies</w:t>
            </w:r>
          </w:p>
          <w:p w:rsidR="00366684" w:rsidRDefault="00307654" w:rsidP="00794936">
            <w:pPr>
              <w:pStyle w:val="ListParagraph"/>
              <w:ind w:left="360"/>
              <w:rPr>
                <w:rFonts w:asciiTheme="minorHAnsi" w:hAnsiTheme="minorHAnsi"/>
                <w:b/>
              </w:rPr>
            </w:pPr>
            <w:r>
              <w:rPr>
                <w:rFonts w:asciiTheme="minorHAnsi" w:hAnsiTheme="minorHAnsi"/>
                <w:b/>
              </w:rPr>
              <w:t xml:space="preserve"> </w:t>
            </w:r>
          </w:p>
          <w:p w:rsidR="00366684" w:rsidRPr="00307654" w:rsidRDefault="00317EB4" w:rsidP="00307654">
            <w:pPr>
              <w:pStyle w:val="ListParagraph"/>
              <w:ind w:left="360"/>
              <w:rPr>
                <w:rFonts w:asciiTheme="minorHAnsi" w:hAnsiTheme="minorHAnsi"/>
                <w:b/>
              </w:rPr>
            </w:pPr>
            <w:r>
              <w:rPr>
                <w:rFonts w:asciiTheme="minorHAnsi" w:hAnsiTheme="minorHAnsi"/>
                <w:b/>
              </w:rPr>
              <w:t>Expected Action</w:t>
            </w:r>
            <w:r w:rsidR="00307654">
              <w:rPr>
                <w:rFonts w:asciiTheme="minorHAnsi" w:hAnsiTheme="minorHAnsi"/>
                <w:b/>
              </w:rPr>
              <w:t xml:space="preserve"> </w:t>
            </w:r>
          </w:p>
        </w:tc>
        <w:tc>
          <w:tcPr>
            <w:tcW w:w="1620" w:type="dxa"/>
          </w:tcPr>
          <w:p w:rsidR="000A6C66" w:rsidRDefault="00876AF0" w:rsidP="00CA513B">
            <w:pPr>
              <w:rPr>
                <w:b/>
              </w:rPr>
            </w:pPr>
            <w:r>
              <w:rPr>
                <w:b/>
              </w:rPr>
              <w:t>DNA</w:t>
            </w:r>
          </w:p>
          <w:p w:rsidR="00205ACD" w:rsidRPr="00382C14" w:rsidRDefault="00205ACD" w:rsidP="00CA513B">
            <w:pPr>
              <w:rPr>
                <w:b/>
              </w:rPr>
            </w:pPr>
          </w:p>
          <w:p w:rsidR="000C5E04" w:rsidRPr="00382C14" w:rsidRDefault="00307654" w:rsidP="00CA513B">
            <w:pPr>
              <w:rPr>
                <w:b/>
              </w:rPr>
            </w:pPr>
            <w:r>
              <w:rPr>
                <w:b/>
              </w:rPr>
              <w:t xml:space="preserve"> </w:t>
            </w:r>
          </w:p>
          <w:p w:rsidR="000C5E04" w:rsidRPr="00382C14" w:rsidRDefault="000C5E04" w:rsidP="00CA513B">
            <w:pPr>
              <w:rPr>
                <w:b/>
              </w:rPr>
            </w:pPr>
          </w:p>
        </w:tc>
        <w:tc>
          <w:tcPr>
            <w:tcW w:w="4050" w:type="dxa"/>
          </w:tcPr>
          <w:p w:rsidR="00794936" w:rsidRDefault="00794936" w:rsidP="009D0255">
            <w:pPr>
              <w:contextualSpacing/>
            </w:pPr>
          </w:p>
          <w:p w:rsidR="00794936" w:rsidRDefault="00794936" w:rsidP="009D0255">
            <w:pPr>
              <w:contextualSpacing/>
            </w:pPr>
          </w:p>
          <w:p w:rsidR="00205ACD" w:rsidRDefault="00205ACD" w:rsidP="009D0255">
            <w:pPr>
              <w:contextualSpacing/>
            </w:pPr>
          </w:p>
          <w:p w:rsidR="00205ACD" w:rsidRDefault="00205ACD" w:rsidP="009D0255">
            <w:pPr>
              <w:contextualSpacing/>
            </w:pPr>
          </w:p>
          <w:p w:rsidR="00205ACD" w:rsidRDefault="00205ACD" w:rsidP="009D0255">
            <w:pPr>
              <w:contextualSpacing/>
            </w:pPr>
          </w:p>
          <w:p w:rsidR="00205ACD" w:rsidRDefault="00205ACD" w:rsidP="009D0255">
            <w:pPr>
              <w:contextualSpacing/>
            </w:pPr>
          </w:p>
          <w:p w:rsidR="00205ACD" w:rsidRPr="00382C14" w:rsidRDefault="00205ACD" w:rsidP="009D0255">
            <w:pPr>
              <w:contextualSpacing/>
            </w:pPr>
          </w:p>
        </w:tc>
        <w:tc>
          <w:tcPr>
            <w:tcW w:w="2790" w:type="dxa"/>
          </w:tcPr>
          <w:p w:rsidR="000A6C66" w:rsidRPr="00382C14" w:rsidRDefault="000A6C66" w:rsidP="00CA513B">
            <w:pPr>
              <w:rPr>
                <w:b/>
              </w:rPr>
            </w:pPr>
          </w:p>
        </w:tc>
      </w:tr>
      <w:tr w:rsidR="00DC45C1" w:rsidRPr="00382C14" w:rsidTr="001D798E">
        <w:tc>
          <w:tcPr>
            <w:tcW w:w="3708" w:type="dxa"/>
          </w:tcPr>
          <w:p w:rsidR="00DC45C1" w:rsidRDefault="00317EB4" w:rsidP="00752238">
            <w:pPr>
              <w:pStyle w:val="ListParagraph"/>
              <w:numPr>
                <w:ilvl w:val="0"/>
                <w:numId w:val="1"/>
              </w:numPr>
              <w:rPr>
                <w:rFonts w:asciiTheme="minorHAnsi" w:hAnsiTheme="minorHAnsi"/>
                <w:b/>
              </w:rPr>
            </w:pPr>
            <w:r>
              <w:rPr>
                <w:rFonts w:asciiTheme="minorHAnsi" w:hAnsiTheme="minorHAnsi"/>
                <w:b/>
              </w:rPr>
              <w:t>Interested Parties Public Comment</w:t>
            </w:r>
          </w:p>
          <w:p w:rsidR="00205ACD" w:rsidRDefault="00205ACD" w:rsidP="00205ACD">
            <w:pPr>
              <w:pStyle w:val="ListParagraph"/>
              <w:ind w:left="360"/>
              <w:rPr>
                <w:rFonts w:asciiTheme="minorHAnsi" w:hAnsiTheme="minorHAnsi"/>
                <w:b/>
              </w:rPr>
            </w:pPr>
          </w:p>
          <w:p w:rsidR="00205ACD" w:rsidRPr="00CC6A19" w:rsidRDefault="00205ACD" w:rsidP="00CC6A19">
            <w:pPr>
              <w:rPr>
                <w:b/>
              </w:rPr>
            </w:pPr>
          </w:p>
          <w:p w:rsidR="00205ACD" w:rsidRPr="00382C14" w:rsidRDefault="00205ACD" w:rsidP="00205ACD">
            <w:pPr>
              <w:pStyle w:val="ListParagraph"/>
              <w:ind w:left="360"/>
              <w:rPr>
                <w:rFonts w:asciiTheme="minorHAnsi" w:hAnsiTheme="minorHAnsi"/>
                <w:b/>
              </w:rPr>
            </w:pPr>
          </w:p>
        </w:tc>
        <w:tc>
          <w:tcPr>
            <w:tcW w:w="1620" w:type="dxa"/>
          </w:tcPr>
          <w:p w:rsidR="00DC45C1" w:rsidRDefault="00876AF0" w:rsidP="00CA513B">
            <w:pPr>
              <w:rPr>
                <w:b/>
              </w:rPr>
            </w:pPr>
            <w:r>
              <w:rPr>
                <w:b/>
              </w:rPr>
              <w:lastRenderedPageBreak/>
              <w:t>DNA</w:t>
            </w:r>
            <w:bookmarkStart w:id="0" w:name="_GoBack"/>
            <w:bookmarkEnd w:id="0"/>
          </w:p>
          <w:p w:rsidR="00317EB4" w:rsidRPr="00382C14" w:rsidRDefault="00307654" w:rsidP="00CA513B">
            <w:pPr>
              <w:rPr>
                <w:b/>
              </w:rPr>
            </w:pPr>
            <w:r>
              <w:rPr>
                <w:b/>
              </w:rPr>
              <w:t xml:space="preserve"> </w:t>
            </w:r>
          </w:p>
        </w:tc>
        <w:tc>
          <w:tcPr>
            <w:tcW w:w="4050" w:type="dxa"/>
          </w:tcPr>
          <w:p w:rsidR="00205ACD" w:rsidRDefault="00205ACD" w:rsidP="00DC45C1">
            <w:pPr>
              <w:rPr>
                <w:b/>
              </w:rPr>
            </w:pPr>
          </w:p>
        </w:tc>
        <w:tc>
          <w:tcPr>
            <w:tcW w:w="2790" w:type="dxa"/>
          </w:tcPr>
          <w:p w:rsidR="00DC45C1" w:rsidRPr="00382C14" w:rsidRDefault="00DC45C1" w:rsidP="00CA513B">
            <w:pPr>
              <w:rPr>
                <w:b/>
              </w:rPr>
            </w:pPr>
          </w:p>
        </w:tc>
      </w:tr>
      <w:tr w:rsidR="000A6C66" w:rsidRPr="00382C14" w:rsidTr="001D798E">
        <w:tc>
          <w:tcPr>
            <w:tcW w:w="3708" w:type="dxa"/>
          </w:tcPr>
          <w:p w:rsidR="000A6C66" w:rsidRPr="00382C14" w:rsidRDefault="000A6C66" w:rsidP="00CA7F6A">
            <w:pPr>
              <w:pStyle w:val="ListParagraph"/>
              <w:ind w:left="360"/>
              <w:rPr>
                <w:rFonts w:asciiTheme="minorHAnsi" w:hAnsiTheme="minorHAnsi"/>
                <w:b/>
              </w:rPr>
            </w:pPr>
          </w:p>
        </w:tc>
        <w:tc>
          <w:tcPr>
            <w:tcW w:w="1620" w:type="dxa"/>
          </w:tcPr>
          <w:p w:rsidR="000C5E04" w:rsidRPr="00382C14" w:rsidRDefault="000C5E04" w:rsidP="00CA513B">
            <w:pPr>
              <w:rPr>
                <w:b/>
              </w:rPr>
            </w:pPr>
          </w:p>
        </w:tc>
        <w:tc>
          <w:tcPr>
            <w:tcW w:w="4050" w:type="dxa"/>
          </w:tcPr>
          <w:p w:rsidR="000A6C66" w:rsidRPr="00382C14" w:rsidRDefault="000A6C66" w:rsidP="00CA513B"/>
        </w:tc>
        <w:tc>
          <w:tcPr>
            <w:tcW w:w="2790" w:type="dxa"/>
          </w:tcPr>
          <w:p w:rsidR="000A6C66" w:rsidRPr="00382C14" w:rsidRDefault="000A6C66" w:rsidP="00CA513B">
            <w:pPr>
              <w:rPr>
                <w:b/>
              </w:rPr>
            </w:pPr>
          </w:p>
        </w:tc>
      </w:tr>
      <w:tr w:rsidR="000A6C66" w:rsidRPr="00382C14" w:rsidTr="001D798E">
        <w:tc>
          <w:tcPr>
            <w:tcW w:w="3708" w:type="dxa"/>
          </w:tcPr>
          <w:p w:rsidR="00794936" w:rsidRDefault="00307654" w:rsidP="009D0255">
            <w:pPr>
              <w:rPr>
                <w:b/>
              </w:rPr>
            </w:pPr>
            <w:r>
              <w:rPr>
                <w:b/>
              </w:rPr>
              <w:t xml:space="preserve">Next </w:t>
            </w:r>
            <w:r w:rsidR="00317EB4">
              <w:rPr>
                <w:b/>
              </w:rPr>
              <w:t>Meeting</w:t>
            </w:r>
          </w:p>
          <w:p w:rsidR="00CC6A19" w:rsidRPr="00382C14" w:rsidRDefault="00307654" w:rsidP="009D0255">
            <w:pPr>
              <w:rPr>
                <w:b/>
              </w:rPr>
            </w:pPr>
            <w:r>
              <w:rPr>
                <w:b/>
              </w:rPr>
              <w:t xml:space="preserve"> </w:t>
            </w:r>
          </w:p>
        </w:tc>
        <w:tc>
          <w:tcPr>
            <w:tcW w:w="1620" w:type="dxa"/>
          </w:tcPr>
          <w:p w:rsidR="000C5E04" w:rsidRPr="00382C14" w:rsidRDefault="000C5E04" w:rsidP="00CA513B">
            <w:pPr>
              <w:rPr>
                <w:b/>
              </w:rPr>
            </w:pPr>
          </w:p>
          <w:p w:rsidR="000C5E04" w:rsidRPr="00382C14" w:rsidRDefault="000C5E04" w:rsidP="00CA513B">
            <w:pPr>
              <w:rPr>
                <w:b/>
              </w:rPr>
            </w:pPr>
          </w:p>
        </w:tc>
        <w:tc>
          <w:tcPr>
            <w:tcW w:w="4050" w:type="dxa"/>
          </w:tcPr>
          <w:p w:rsidR="000A6C66" w:rsidRPr="00382C14" w:rsidRDefault="00F03098" w:rsidP="00CA513B">
            <w:pPr>
              <w:rPr>
                <w:b/>
              </w:rPr>
            </w:pPr>
            <w:r>
              <w:rPr>
                <w:b/>
              </w:rPr>
              <w:t xml:space="preserve"> </w:t>
            </w:r>
          </w:p>
        </w:tc>
        <w:tc>
          <w:tcPr>
            <w:tcW w:w="2790" w:type="dxa"/>
          </w:tcPr>
          <w:p w:rsidR="000A6C66" w:rsidRPr="00382C14" w:rsidRDefault="000A6C66" w:rsidP="00CA513B">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876AF0" w:rsidRDefault="00752238" w:rsidP="00CA7F6A">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876AF0">
        <w:rPr>
          <w:rFonts w:eastAsia="Times New Roman" w:cs="Times New Roman"/>
          <w:b/>
        </w:rPr>
        <w:t>November 18, 2014</w:t>
      </w:r>
    </w:p>
    <w:p w:rsidR="00876AF0" w:rsidRDefault="00876AF0" w:rsidP="00CA7F6A">
      <w:pPr>
        <w:spacing w:after="0" w:line="240" w:lineRule="auto"/>
        <w:jc w:val="center"/>
        <w:rPr>
          <w:rFonts w:eastAsia="Times New Roman" w:cs="Times New Roman"/>
          <w:b/>
        </w:rPr>
      </w:pPr>
      <w:r>
        <w:rPr>
          <w:rFonts w:eastAsia="Times New Roman" w:cs="Times New Roman"/>
          <w:b/>
        </w:rPr>
        <w:t xml:space="preserve">3:00 to 5:00 @ </w:t>
      </w:r>
      <w:proofErr w:type="spellStart"/>
      <w:r>
        <w:rPr>
          <w:rFonts w:eastAsia="Times New Roman" w:cs="Times New Roman"/>
          <w:b/>
        </w:rPr>
        <w:t>MaineGeneral</w:t>
      </w:r>
      <w:proofErr w:type="spellEnd"/>
      <w:r>
        <w:rPr>
          <w:rFonts w:eastAsia="Times New Roman" w:cs="Times New Roman"/>
          <w:b/>
        </w:rPr>
        <w:t xml:space="preserve"> Medical Center, Augusta</w:t>
      </w:r>
    </w:p>
    <w:p w:rsidR="002E77E0" w:rsidRPr="00382C14" w:rsidRDefault="00876AF0" w:rsidP="00CA7F6A">
      <w:pPr>
        <w:spacing w:after="0" w:line="240" w:lineRule="auto"/>
        <w:jc w:val="center"/>
        <w:rPr>
          <w:rFonts w:eastAsia="Times New Roman" w:cs="Times New Roman"/>
          <w:b/>
        </w:rPr>
      </w:pPr>
      <w:r>
        <w:rPr>
          <w:rFonts w:eastAsia="Times New Roman" w:cs="Times New Roman"/>
          <w:b/>
        </w:rPr>
        <w:t>Massachusetts BS/BS will provide an update on their Alternative Quality Contracts.</w:t>
      </w:r>
      <w:r w:rsidR="00317EB4">
        <w:rPr>
          <w:rFonts w:eastAsia="Times New Roman" w:cs="Times New Roman"/>
          <w:b/>
        </w:rPr>
        <w:t xml:space="preserve"> </w:t>
      </w:r>
    </w:p>
    <w:p w:rsidR="001D1B62" w:rsidRPr="00382C14" w:rsidRDefault="001D1B62" w:rsidP="00DC7D65">
      <w:pPr>
        <w:spacing w:after="0" w:line="240" w:lineRule="auto"/>
        <w:rPr>
          <w:rFonts w:eastAsia="Times New Roman" w:cs="Times New Roman"/>
          <w:b/>
        </w:rPr>
      </w:pPr>
    </w:p>
    <w:sectPr w:rsidR="001D1B62" w:rsidRPr="00382C14" w:rsidSect="001F1605">
      <w:headerReference w:type="default" r:id="rId14"/>
      <w:footerReference w:type="default" r:id="rId15"/>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825" w:rsidRDefault="00A40825" w:rsidP="009528AC">
      <w:pPr>
        <w:spacing w:after="0" w:line="240" w:lineRule="auto"/>
      </w:pPr>
      <w:r>
        <w:separator/>
      </w:r>
    </w:p>
  </w:endnote>
  <w:endnote w:type="continuationSeparator" w:id="0">
    <w:p w:rsidR="00A40825" w:rsidRDefault="00A40825"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61044D" w:rsidRDefault="0061044D">
        <w:pPr>
          <w:pStyle w:val="Footer"/>
          <w:jc w:val="right"/>
        </w:pPr>
        <w:r>
          <w:fldChar w:fldCharType="begin"/>
        </w:r>
        <w:r>
          <w:instrText xml:space="preserve"> PAGE   \* MERGEFORMAT </w:instrText>
        </w:r>
        <w:r>
          <w:fldChar w:fldCharType="separate"/>
        </w:r>
        <w:r w:rsidR="00876AF0">
          <w:rPr>
            <w:noProof/>
          </w:rPr>
          <w:t>1</w:t>
        </w:r>
        <w:r>
          <w:rPr>
            <w:noProof/>
          </w:rPr>
          <w:fldChar w:fldCharType="end"/>
        </w:r>
      </w:p>
    </w:sdtContent>
  </w:sdt>
  <w:p w:rsidR="0061044D" w:rsidRDefault="0061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825" w:rsidRDefault="00A40825" w:rsidP="009528AC">
      <w:pPr>
        <w:spacing w:after="0" w:line="240" w:lineRule="auto"/>
      </w:pPr>
      <w:r>
        <w:separator/>
      </w:r>
    </w:p>
  </w:footnote>
  <w:footnote w:type="continuationSeparator" w:id="0">
    <w:p w:rsidR="00A40825" w:rsidRDefault="00A40825"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4D" w:rsidRDefault="00610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7">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4"/>
  </w:num>
  <w:num w:numId="4">
    <w:abstractNumId w:val="2"/>
  </w:num>
  <w:num w:numId="5">
    <w:abstractNumId w:val="5"/>
  </w:num>
  <w:num w:numId="6">
    <w:abstractNumId w:val="10"/>
  </w:num>
  <w:num w:numId="7">
    <w:abstractNumId w:val="0"/>
  </w:num>
  <w:num w:numId="8">
    <w:abstractNumId w:val="15"/>
  </w:num>
  <w:num w:numId="9">
    <w:abstractNumId w:val="12"/>
  </w:num>
  <w:num w:numId="10">
    <w:abstractNumId w:val="6"/>
  </w:num>
  <w:num w:numId="11">
    <w:abstractNumId w:val="13"/>
  </w:num>
  <w:num w:numId="12">
    <w:abstractNumId w:val="1"/>
  </w:num>
  <w:num w:numId="13">
    <w:abstractNumId w:val="7"/>
  </w:num>
  <w:num w:numId="14">
    <w:abstractNumId w:val="11"/>
  </w:num>
  <w:num w:numId="15">
    <w:abstractNumId w:val="16"/>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21782"/>
    <w:rsid w:val="00026C79"/>
    <w:rsid w:val="00033E1C"/>
    <w:rsid w:val="00046DB0"/>
    <w:rsid w:val="00047088"/>
    <w:rsid w:val="00051E6B"/>
    <w:rsid w:val="00053DB9"/>
    <w:rsid w:val="00066456"/>
    <w:rsid w:val="00086D9D"/>
    <w:rsid w:val="00097E02"/>
    <w:rsid w:val="000A6C66"/>
    <w:rsid w:val="000B280D"/>
    <w:rsid w:val="000B3716"/>
    <w:rsid w:val="000B6131"/>
    <w:rsid w:val="000C0D2D"/>
    <w:rsid w:val="000C35A5"/>
    <w:rsid w:val="000C5E04"/>
    <w:rsid w:val="000C6E74"/>
    <w:rsid w:val="000D5FE1"/>
    <w:rsid w:val="000D7AD4"/>
    <w:rsid w:val="000E066F"/>
    <w:rsid w:val="000F667F"/>
    <w:rsid w:val="001034BB"/>
    <w:rsid w:val="00104961"/>
    <w:rsid w:val="00105364"/>
    <w:rsid w:val="00107C92"/>
    <w:rsid w:val="00114C65"/>
    <w:rsid w:val="001173D5"/>
    <w:rsid w:val="0012168B"/>
    <w:rsid w:val="0012170D"/>
    <w:rsid w:val="00124F1E"/>
    <w:rsid w:val="00130314"/>
    <w:rsid w:val="001309E6"/>
    <w:rsid w:val="00133836"/>
    <w:rsid w:val="001521D1"/>
    <w:rsid w:val="0015221F"/>
    <w:rsid w:val="0015295E"/>
    <w:rsid w:val="001565FD"/>
    <w:rsid w:val="001774A5"/>
    <w:rsid w:val="001828A9"/>
    <w:rsid w:val="00184A3F"/>
    <w:rsid w:val="0019691C"/>
    <w:rsid w:val="00197039"/>
    <w:rsid w:val="0019779D"/>
    <w:rsid w:val="001A2AA7"/>
    <w:rsid w:val="001A3885"/>
    <w:rsid w:val="001B0113"/>
    <w:rsid w:val="001B1456"/>
    <w:rsid w:val="001B589D"/>
    <w:rsid w:val="001C38CD"/>
    <w:rsid w:val="001D1B62"/>
    <w:rsid w:val="001D4383"/>
    <w:rsid w:val="001D4751"/>
    <w:rsid w:val="001D798E"/>
    <w:rsid w:val="001E2542"/>
    <w:rsid w:val="001E36E1"/>
    <w:rsid w:val="001F1605"/>
    <w:rsid w:val="002045A4"/>
    <w:rsid w:val="00205ACD"/>
    <w:rsid w:val="00215823"/>
    <w:rsid w:val="00217D2B"/>
    <w:rsid w:val="00220051"/>
    <w:rsid w:val="00224B04"/>
    <w:rsid w:val="00227D1E"/>
    <w:rsid w:val="002309F0"/>
    <w:rsid w:val="00231153"/>
    <w:rsid w:val="00232996"/>
    <w:rsid w:val="00235B01"/>
    <w:rsid w:val="00237BB8"/>
    <w:rsid w:val="002422B9"/>
    <w:rsid w:val="00251624"/>
    <w:rsid w:val="002520BE"/>
    <w:rsid w:val="002533BE"/>
    <w:rsid w:val="00254D4F"/>
    <w:rsid w:val="00255283"/>
    <w:rsid w:val="00265838"/>
    <w:rsid w:val="00283080"/>
    <w:rsid w:val="00285B5F"/>
    <w:rsid w:val="00294AD3"/>
    <w:rsid w:val="002950B8"/>
    <w:rsid w:val="002A22B5"/>
    <w:rsid w:val="002A2A54"/>
    <w:rsid w:val="002A2B0D"/>
    <w:rsid w:val="002A54A7"/>
    <w:rsid w:val="002A5768"/>
    <w:rsid w:val="002A71DC"/>
    <w:rsid w:val="002B1061"/>
    <w:rsid w:val="002B7C9C"/>
    <w:rsid w:val="002C5D29"/>
    <w:rsid w:val="002C7C85"/>
    <w:rsid w:val="002D7E92"/>
    <w:rsid w:val="002E3E81"/>
    <w:rsid w:val="002E77E0"/>
    <w:rsid w:val="002F0184"/>
    <w:rsid w:val="002F1C52"/>
    <w:rsid w:val="002F236C"/>
    <w:rsid w:val="002F2D19"/>
    <w:rsid w:val="002F76A7"/>
    <w:rsid w:val="0030128E"/>
    <w:rsid w:val="0030398E"/>
    <w:rsid w:val="00307654"/>
    <w:rsid w:val="00317EB4"/>
    <w:rsid w:val="00320777"/>
    <w:rsid w:val="00320DF3"/>
    <w:rsid w:val="003234D8"/>
    <w:rsid w:val="00323BDD"/>
    <w:rsid w:val="00354529"/>
    <w:rsid w:val="00365DB9"/>
    <w:rsid w:val="00366684"/>
    <w:rsid w:val="00382C14"/>
    <w:rsid w:val="003970E1"/>
    <w:rsid w:val="003972B8"/>
    <w:rsid w:val="003A276D"/>
    <w:rsid w:val="003B18D0"/>
    <w:rsid w:val="003B3F0A"/>
    <w:rsid w:val="003C0B6E"/>
    <w:rsid w:val="003D799D"/>
    <w:rsid w:val="003E0CE1"/>
    <w:rsid w:val="003E16CD"/>
    <w:rsid w:val="003E33AF"/>
    <w:rsid w:val="003E784C"/>
    <w:rsid w:val="003E7C6A"/>
    <w:rsid w:val="003F780E"/>
    <w:rsid w:val="00401DC3"/>
    <w:rsid w:val="00405094"/>
    <w:rsid w:val="004270B5"/>
    <w:rsid w:val="004278A9"/>
    <w:rsid w:val="00427D52"/>
    <w:rsid w:val="00431A1C"/>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832"/>
    <w:rsid w:val="004C59C2"/>
    <w:rsid w:val="004D3D29"/>
    <w:rsid w:val="004E21A0"/>
    <w:rsid w:val="004E3B9B"/>
    <w:rsid w:val="004F2914"/>
    <w:rsid w:val="00503704"/>
    <w:rsid w:val="00504887"/>
    <w:rsid w:val="00511D91"/>
    <w:rsid w:val="00513493"/>
    <w:rsid w:val="0051757D"/>
    <w:rsid w:val="00533F6E"/>
    <w:rsid w:val="00534E7A"/>
    <w:rsid w:val="005350A4"/>
    <w:rsid w:val="00535B92"/>
    <w:rsid w:val="00535BD7"/>
    <w:rsid w:val="00542DCF"/>
    <w:rsid w:val="00544104"/>
    <w:rsid w:val="00546CAC"/>
    <w:rsid w:val="005538F0"/>
    <w:rsid w:val="005542BE"/>
    <w:rsid w:val="00556F75"/>
    <w:rsid w:val="005644F0"/>
    <w:rsid w:val="00570F14"/>
    <w:rsid w:val="0057453F"/>
    <w:rsid w:val="005779EB"/>
    <w:rsid w:val="00583239"/>
    <w:rsid w:val="00585463"/>
    <w:rsid w:val="0059130A"/>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DFD"/>
    <w:rsid w:val="00627A82"/>
    <w:rsid w:val="00627D89"/>
    <w:rsid w:val="00635E57"/>
    <w:rsid w:val="00664BF0"/>
    <w:rsid w:val="006743EC"/>
    <w:rsid w:val="0068420A"/>
    <w:rsid w:val="00685D08"/>
    <w:rsid w:val="00693536"/>
    <w:rsid w:val="0069679D"/>
    <w:rsid w:val="006974E7"/>
    <w:rsid w:val="006A1299"/>
    <w:rsid w:val="006A4090"/>
    <w:rsid w:val="006B164B"/>
    <w:rsid w:val="006C083C"/>
    <w:rsid w:val="006C2122"/>
    <w:rsid w:val="006D27DE"/>
    <w:rsid w:val="006F2FDF"/>
    <w:rsid w:val="006F4A12"/>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8085C"/>
    <w:rsid w:val="007824F0"/>
    <w:rsid w:val="00783E47"/>
    <w:rsid w:val="00786871"/>
    <w:rsid w:val="00792436"/>
    <w:rsid w:val="00794936"/>
    <w:rsid w:val="007A711B"/>
    <w:rsid w:val="007A72A4"/>
    <w:rsid w:val="007B0633"/>
    <w:rsid w:val="007C1CDB"/>
    <w:rsid w:val="007C2ECC"/>
    <w:rsid w:val="007D1DCD"/>
    <w:rsid w:val="007D4D2E"/>
    <w:rsid w:val="007E0304"/>
    <w:rsid w:val="007E237F"/>
    <w:rsid w:val="007E4775"/>
    <w:rsid w:val="007E4B46"/>
    <w:rsid w:val="007E59DD"/>
    <w:rsid w:val="008008C0"/>
    <w:rsid w:val="008052D6"/>
    <w:rsid w:val="00805848"/>
    <w:rsid w:val="00806385"/>
    <w:rsid w:val="00812430"/>
    <w:rsid w:val="00813030"/>
    <w:rsid w:val="00823275"/>
    <w:rsid w:val="00830ADA"/>
    <w:rsid w:val="00832AAA"/>
    <w:rsid w:val="00843D5B"/>
    <w:rsid w:val="00845BEA"/>
    <w:rsid w:val="00863D8E"/>
    <w:rsid w:val="0087486B"/>
    <w:rsid w:val="00875D3A"/>
    <w:rsid w:val="00876AF0"/>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516A"/>
    <w:rsid w:val="008D12EE"/>
    <w:rsid w:val="008E162A"/>
    <w:rsid w:val="008E19F6"/>
    <w:rsid w:val="008F2DA8"/>
    <w:rsid w:val="008F5D6E"/>
    <w:rsid w:val="00906A46"/>
    <w:rsid w:val="00910134"/>
    <w:rsid w:val="0091304A"/>
    <w:rsid w:val="009142CC"/>
    <w:rsid w:val="00914EB5"/>
    <w:rsid w:val="00916DE7"/>
    <w:rsid w:val="00924B9E"/>
    <w:rsid w:val="00925343"/>
    <w:rsid w:val="00927B91"/>
    <w:rsid w:val="00934F2C"/>
    <w:rsid w:val="009363E1"/>
    <w:rsid w:val="009470B3"/>
    <w:rsid w:val="009528AC"/>
    <w:rsid w:val="00952C2E"/>
    <w:rsid w:val="009569E4"/>
    <w:rsid w:val="0095790E"/>
    <w:rsid w:val="0099337F"/>
    <w:rsid w:val="009A06B8"/>
    <w:rsid w:val="009A674E"/>
    <w:rsid w:val="009B0D2F"/>
    <w:rsid w:val="009B1DED"/>
    <w:rsid w:val="009B480A"/>
    <w:rsid w:val="009B5E40"/>
    <w:rsid w:val="009B7647"/>
    <w:rsid w:val="009C071B"/>
    <w:rsid w:val="009C175D"/>
    <w:rsid w:val="009C1965"/>
    <w:rsid w:val="009D0255"/>
    <w:rsid w:val="009E21FE"/>
    <w:rsid w:val="009F7035"/>
    <w:rsid w:val="009F74F0"/>
    <w:rsid w:val="00A03F07"/>
    <w:rsid w:val="00A0773C"/>
    <w:rsid w:val="00A1155A"/>
    <w:rsid w:val="00A15575"/>
    <w:rsid w:val="00A17730"/>
    <w:rsid w:val="00A25DD8"/>
    <w:rsid w:val="00A3329A"/>
    <w:rsid w:val="00A40825"/>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BCA"/>
    <w:rsid w:val="00AB717E"/>
    <w:rsid w:val="00AC0BA8"/>
    <w:rsid w:val="00AC400F"/>
    <w:rsid w:val="00AD0517"/>
    <w:rsid w:val="00AD4845"/>
    <w:rsid w:val="00AD5607"/>
    <w:rsid w:val="00AE4ECD"/>
    <w:rsid w:val="00AE6C31"/>
    <w:rsid w:val="00AF3EEB"/>
    <w:rsid w:val="00AF5120"/>
    <w:rsid w:val="00B02A9A"/>
    <w:rsid w:val="00B0531A"/>
    <w:rsid w:val="00B06219"/>
    <w:rsid w:val="00B100AD"/>
    <w:rsid w:val="00B10C95"/>
    <w:rsid w:val="00B151B1"/>
    <w:rsid w:val="00B16AFF"/>
    <w:rsid w:val="00B17696"/>
    <w:rsid w:val="00B2232E"/>
    <w:rsid w:val="00B332E1"/>
    <w:rsid w:val="00B3334D"/>
    <w:rsid w:val="00B360D6"/>
    <w:rsid w:val="00B36F12"/>
    <w:rsid w:val="00B404FA"/>
    <w:rsid w:val="00B45DEE"/>
    <w:rsid w:val="00B562FE"/>
    <w:rsid w:val="00B60061"/>
    <w:rsid w:val="00B718DC"/>
    <w:rsid w:val="00B722D3"/>
    <w:rsid w:val="00B84210"/>
    <w:rsid w:val="00B97464"/>
    <w:rsid w:val="00BB38A4"/>
    <w:rsid w:val="00BB514A"/>
    <w:rsid w:val="00BB5E4C"/>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6796"/>
    <w:rsid w:val="00C26D0D"/>
    <w:rsid w:val="00C318BB"/>
    <w:rsid w:val="00C320B4"/>
    <w:rsid w:val="00C46CAB"/>
    <w:rsid w:val="00C472ED"/>
    <w:rsid w:val="00C47D2C"/>
    <w:rsid w:val="00C51824"/>
    <w:rsid w:val="00C5237A"/>
    <w:rsid w:val="00C60DB3"/>
    <w:rsid w:val="00C619AC"/>
    <w:rsid w:val="00C61EA0"/>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A7F6A"/>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45C1"/>
    <w:rsid w:val="00DC7D65"/>
    <w:rsid w:val="00DD1237"/>
    <w:rsid w:val="00DD42D5"/>
    <w:rsid w:val="00DD55F3"/>
    <w:rsid w:val="00DD65F7"/>
    <w:rsid w:val="00DE3859"/>
    <w:rsid w:val="00DF4565"/>
    <w:rsid w:val="00E02E28"/>
    <w:rsid w:val="00E037B1"/>
    <w:rsid w:val="00E04405"/>
    <w:rsid w:val="00E11F71"/>
    <w:rsid w:val="00E20E41"/>
    <w:rsid w:val="00E32CBA"/>
    <w:rsid w:val="00E339A4"/>
    <w:rsid w:val="00E3596C"/>
    <w:rsid w:val="00E40F7B"/>
    <w:rsid w:val="00E4422C"/>
    <w:rsid w:val="00E51260"/>
    <w:rsid w:val="00E535AD"/>
    <w:rsid w:val="00E56E9B"/>
    <w:rsid w:val="00E57983"/>
    <w:rsid w:val="00E61F8F"/>
    <w:rsid w:val="00E64589"/>
    <w:rsid w:val="00E83854"/>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3B9E"/>
    <w:rsid w:val="00EF45EE"/>
    <w:rsid w:val="00F03098"/>
    <w:rsid w:val="00F05A55"/>
    <w:rsid w:val="00F12884"/>
    <w:rsid w:val="00F16C5D"/>
    <w:rsid w:val="00F2282F"/>
    <w:rsid w:val="00F23DD7"/>
    <w:rsid w:val="00F3282C"/>
    <w:rsid w:val="00F60C73"/>
    <w:rsid w:val="00F61704"/>
    <w:rsid w:val="00F61F9E"/>
    <w:rsid w:val="00F656FC"/>
    <w:rsid w:val="00F71A33"/>
    <w:rsid w:val="00F745A6"/>
    <w:rsid w:val="00F74A3C"/>
    <w:rsid w:val="00F82204"/>
    <w:rsid w:val="00F84999"/>
    <w:rsid w:val="00FA2661"/>
    <w:rsid w:val="00FA429D"/>
    <w:rsid w:val="00FA65AF"/>
    <w:rsid w:val="00FB17D7"/>
    <w:rsid w:val="00FB42CE"/>
    <w:rsid w:val="00FB68BC"/>
    <w:rsid w:val="00FB6993"/>
    <w:rsid w:val="00FC3A6F"/>
    <w:rsid w:val="00FC618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2.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6A7D13-E841-4234-9EDF-FB791DE0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Frank Johnson</cp:lastModifiedBy>
  <cp:revision>2</cp:revision>
  <cp:lastPrinted>2014-04-08T15:44:00Z</cp:lastPrinted>
  <dcterms:created xsi:type="dcterms:W3CDTF">2014-09-17T15:32:00Z</dcterms:created>
  <dcterms:modified xsi:type="dcterms:W3CDTF">2014-09-17T15:32:00Z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